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0C" w:rsidRDefault="00A5080C" w:rsidP="00A5080C">
      <w:pPr>
        <w:pStyle w:val="NoSpacing"/>
        <w:jc w:val="center"/>
        <w:rPr>
          <w:rFonts w:ascii="Calibri" w:hAnsi="Calibri" w:cs="Calibri"/>
        </w:rPr>
      </w:pPr>
      <w:r>
        <w:rPr>
          <w:rFonts w:ascii="Calibri" w:hAnsi="Calibri" w:cs="Calibri"/>
          <w:b/>
          <w:sz w:val="40"/>
          <w:szCs w:val="32"/>
        </w:rPr>
        <w:t>Model SOP</w:t>
      </w:r>
    </w:p>
    <w:p w:rsidR="00A5080C" w:rsidRDefault="00A5080C" w:rsidP="00A5080C">
      <w:pPr>
        <w:pStyle w:val="NoSpacing"/>
        <w:jc w:val="center"/>
        <w:rPr>
          <w:rFonts w:asciiTheme="minorHAnsi" w:hAnsiTheme="minorHAnsi" w:cstheme="minorHAnsi"/>
          <w:b/>
          <w:bCs/>
          <w:sz w:val="32"/>
          <w:szCs w:val="54"/>
          <w:lang w:eastAsia="en-GB"/>
        </w:rPr>
      </w:pPr>
    </w:p>
    <w:p w:rsidR="00E76192" w:rsidRPr="00CA0415" w:rsidRDefault="00E76192" w:rsidP="00C61823">
      <w:pPr>
        <w:pStyle w:val="NoSpacing"/>
        <w:jc w:val="center"/>
        <w:rPr>
          <w:rFonts w:asciiTheme="minorHAnsi" w:hAnsiTheme="minorHAnsi" w:cstheme="minorHAnsi"/>
          <w:b/>
          <w:bCs/>
          <w:sz w:val="32"/>
          <w:szCs w:val="54"/>
          <w:lang w:eastAsia="en-GB"/>
        </w:rPr>
      </w:pPr>
      <w:r w:rsidRPr="00CA0415">
        <w:rPr>
          <w:rFonts w:asciiTheme="minorHAnsi" w:hAnsiTheme="minorHAnsi" w:cstheme="minorHAnsi"/>
          <w:b/>
          <w:bCs/>
          <w:sz w:val="32"/>
          <w:szCs w:val="54"/>
          <w:lang w:eastAsia="en-GB"/>
        </w:rPr>
        <w:t xml:space="preserve">Standard Operating Procedure </w:t>
      </w:r>
    </w:p>
    <w:p w:rsidR="00E76192" w:rsidRPr="00CA0415" w:rsidRDefault="00E76192" w:rsidP="00C61823">
      <w:pPr>
        <w:pStyle w:val="NoSpacing"/>
        <w:jc w:val="center"/>
        <w:rPr>
          <w:rFonts w:asciiTheme="minorHAnsi" w:hAnsiTheme="minorHAnsi" w:cstheme="minorHAnsi"/>
          <w:b/>
          <w:bCs/>
          <w:sz w:val="32"/>
          <w:szCs w:val="54"/>
          <w:lang w:eastAsia="en-GB"/>
        </w:rPr>
      </w:pPr>
    </w:p>
    <w:p w:rsidR="00E76192" w:rsidRPr="00CA0415" w:rsidRDefault="00E76192" w:rsidP="00C61823">
      <w:pPr>
        <w:spacing w:after="0" w:line="240" w:lineRule="auto"/>
        <w:rPr>
          <w:rFonts w:cstheme="minorHAnsi"/>
          <w:b/>
          <w:sz w:val="28"/>
          <w:szCs w:val="24"/>
          <w:lang w:eastAsia="en-US"/>
        </w:rPr>
      </w:pPr>
      <w:r w:rsidRPr="00CA0415">
        <w:rPr>
          <w:rFonts w:cstheme="minorHAnsi"/>
          <w:b/>
          <w:sz w:val="24"/>
        </w:rPr>
        <w:t xml:space="preserve">Name of the facility / activity </w:t>
      </w:r>
      <w:r w:rsidRPr="00CA0415">
        <w:rPr>
          <w:rFonts w:cstheme="minorHAnsi"/>
          <w:b/>
          <w:sz w:val="24"/>
        </w:rPr>
        <w:tab/>
        <w:t>:</w:t>
      </w:r>
      <w:r w:rsidRPr="00CA0415">
        <w:rPr>
          <w:rFonts w:cstheme="minorHAnsi"/>
          <w:b/>
          <w:sz w:val="24"/>
        </w:rPr>
        <w:tab/>
      </w:r>
      <w:r w:rsidR="00C61823" w:rsidRPr="00CA0415">
        <w:rPr>
          <w:rFonts w:cstheme="minorHAnsi"/>
          <w:b/>
          <w:sz w:val="24"/>
        </w:rPr>
        <w:t>Preservation of Blood and Blood Components</w:t>
      </w:r>
    </w:p>
    <w:p w:rsidR="00E76192" w:rsidRPr="00CA0415" w:rsidRDefault="00E76192" w:rsidP="00C61823">
      <w:pPr>
        <w:pStyle w:val="NoSpacing"/>
        <w:jc w:val="center"/>
        <w:rPr>
          <w:rFonts w:asciiTheme="minorHAnsi" w:hAnsiTheme="minorHAnsi" w:cstheme="minorHAnsi"/>
          <w:b/>
          <w:bCs/>
          <w:sz w:val="32"/>
          <w:szCs w:val="5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843"/>
        <w:gridCol w:w="1843"/>
        <w:gridCol w:w="2126"/>
        <w:gridCol w:w="2046"/>
      </w:tblGrid>
      <w:tr w:rsidR="00E76192" w:rsidRPr="00CA0415" w:rsidTr="00A214E4">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rPr>
              <w:t xml:space="preserve">SOP no.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 xml:space="preserve">Authorised by </w:t>
            </w:r>
          </w:p>
        </w:tc>
      </w:tr>
      <w:tr w:rsidR="00E76192" w:rsidRPr="00CA0415" w:rsidTr="00A214E4">
        <w:tc>
          <w:tcPr>
            <w:tcW w:w="1384" w:type="dxa"/>
            <w:tcBorders>
              <w:top w:val="single" w:sz="4" w:space="0" w:color="000000"/>
              <w:left w:val="single" w:sz="4" w:space="0" w:color="000000"/>
              <w:bottom w:val="single" w:sz="4" w:space="0" w:color="000000"/>
              <w:right w:val="single" w:sz="4" w:space="0" w:color="000000"/>
            </w:tcBorders>
            <w:hideMark/>
          </w:tcPr>
          <w:p w:rsidR="00E76192" w:rsidRPr="00CA0415" w:rsidRDefault="00743F5A" w:rsidP="00C61823">
            <w:pPr>
              <w:pStyle w:val="NoSpacing"/>
              <w:jc w:val="center"/>
              <w:rPr>
                <w:rFonts w:asciiTheme="minorHAnsi" w:hAnsiTheme="minorHAnsi" w:cstheme="minorHAnsi"/>
                <w:bCs/>
                <w:lang w:eastAsia="en-GB"/>
              </w:rPr>
            </w:pPr>
            <w:r w:rsidRPr="00CA0415">
              <w:rPr>
                <w:rFonts w:asciiTheme="minorHAnsi" w:hAnsiTheme="minorHAnsi" w:cstheme="minorHAnsi"/>
              </w:rPr>
              <w:t>5</w:t>
            </w:r>
            <w:r w:rsidR="00E76192" w:rsidRPr="00CA0415">
              <w:rPr>
                <w:rFonts w:asciiTheme="minorHAnsi" w:hAnsiTheme="minorHAnsi" w:cstheme="minorHAnsi"/>
              </w:rPr>
              <w:t>.</w:t>
            </w:r>
            <w:r w:rsidRPr="00CA0415">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76192" w:rsidRPr="00CA0415" w:rsidRDefault="00770254" w:rsidP="00C61823">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3</w:t>
            </w:r>
          </w:p>
        </w:tc>
        <w:tc>
          <w:tcPr>
            <w:tcW w:w="2126"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p>
        </w:tc>
      </w:tr>
      <w:tr w:rsidR="00E76192" w:rsidRPr="00CA0415" w:rsidTr="00A214E4">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76192" w:rsidRPr="00CA0415" w:rsidRDefault="00E76192" w:rsidP="00C61823">
            <w:pPr>
              <w:pStyle w:val="NoSpacing"/>
              <w:jc w:val="center"/>
              <w:rPr>
                <w:rFonts w:asciiTheme="minorHAnsi" w:hAnsiTheme="minorHAnsi" w:cstheme="minorHAnsi"/>
                <w:b/>
                <w:bCs/>
                <w:lang w:eastAsia="en-GB"/>
              </w:rPr>
            </w:pPr>
            <w:r w:rsidRPr="00CA0415">
              <w:rPr>
                <w:rFonts w:asciiTheme="minorHAnsi" w:hAnsiTheme="minorHAnsi" w:cstheme="minorHAnsi"/>
                <w:b/>
                <w:bCs/>
                <w:lang w:eastAsia="en-GB"/>
              </w:rPr>
              <w:t>Number of copies</w:t>
            </w:r>
          </w:p>
        </w:tc>
      </w:tr>
      <w:tr w:rsidR="00E76192" w:rsidRPr="00CA0415" w:rsidTr="00A214E4">
        <w:tc>
          <w:tcPr>
            <w:tcW w:w="1384"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VI</w:t>
            </w:r>
          </w:p>
        </w:tc>
        <w:tc>
          <w:tcPr>
            <w:tcW w:w="1843"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6E6EA2">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01-01-201</w:t>
            </w:r>
            <w:r w:rsidR="006E6EA2">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jc w:val="center"/>
              <w:rPr>
                <w:rFonts w:asciiTheme="minorHAnsi" w:hAnsiTheme="minorHAnsi" w:cstheme="minorHAnsi"/>
                <w:bCs/>
                <w:lang w:eastAsia="en-GB"/>
              </w:rPr>
            </w:pPr>
            <w:r w:rsidRPr="00CA0415">
              <w:rPr>
                <w:rFonts w:asciiTheme="minorHAnsi" w:hAnsiTheme="minorHAnsi" w:cstheme="minorHAnsi"/>
                <w:bCs/>
                <w:lang w:eastAsia="en-GB"/>
              </w:rPr>
              <w:t>10</w:t>
            </w:r>
          </w:p>
        </w:tc>
      </w:tr>
      <w:tr w:rsidR="00E76192" w:rsidRPr="00CA0415" w:rsidTr="00E76192">
        <w:tc>
          <w:tcPr>
            <w:tcW w:w="9242" w:type="dxa"/>
            <w:gridSpan w:val="5"/>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rPr>
                <w:rFonts w:asciiTheme="minorHAnsi" w:hAnsiTheme="minorHAnsi" w:cstheme="minorHAnsi"/>
                <w:bCs/>
                <w:lang w:eastAsia="en-GB"/>
              </w:rPr>
            </w:pPr>
            <w:r w:rsidRPr="00CA0415">
              <w:rPr>
                <w:rFonts w:asciiTheme="minorHAnsi" w:hAnsiTheme="minorHAnsi" w:cstheme="minorHAnsi"/>
                <w:b/>
              </w:rPr>
              <w:t>LOCATION</w:t>
            </w:r>
            <w:r w:rsidR="00A214E4" w:rsidRPr="00CA0415">
              <w:rPr>
                <w:rFonts w:asciiTheme="minorHAnsi" w:hAnsiTheme="minorHAnsi" w:cstheme="minorHAnsi"/>
                <w:b/>
              </w:rPr>
              <w:t xml:space="preserve">        </w:t>
            </w:r>
            <w:r w:rsidRPr="00CA0415">
              <w:rPr>
                <w:rFonts w:asciiTheme="minorHAnsi" w:hAnsiTheme="minorHAnsi" w:cstheme="minorHAnsi"/>
              </w:rPr>
              <w:t xml:space="preserve">: </w:t>
            </w:r>
            <w:r w:rsidR="00C61823" w:rsidRPr="00CA0415">
              <w:rPr>
                <w:rFonts w:asciiTheme="minorHAnsi" w:hAnsiTheme="minorHAnsi" w:cstheme="minorHAnsi"/>
              </w:rPr>
              <w:t>Storage Area</w:t>
            </w:r>
          </w:p>
        </w:tc>
      </w:tr>
      <w:tr w:rsidR="00E76192" w:rsidRPr="00CA0415" w:rsidTr="00E76192">
        <w:tc>
          <w:tcPr>
            <w:tcW w:w="9242" w:type="dxa"/>
            <w:gridSpan w:val="5"/>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spacing w:after="0" w:line="240" w:lineRule="auto"/>
              <w:rPr>
                <w:rFonts w:cstheme="minorHAnsi"/>
              </w:rPr>
            </w:pPr>
            <w:r w:rsidRPr="00CA0415">
              <w:rPr>
                <w:rFonts w:cstheme="minorHAnsi"/>
                <w:b/>
                <w:sz w:val="24"/>
              </w:rPr>
              <w:t>SUBJECT</w:t>
            </w:r>
            <w:r w:rsidR="00A214E4" w:rsidRPr="00CA0415">
              <w:rPr>
                <w:rFonts w:cstheme="minorHAnsi"/>
                <w:b/>
                <w:sz w:val="24"/>
              </w:rPr>
              <w:t xml:space="preserve">            </w:t>
            </w:r>
            <w:r w:rsidRPr="00CA0415">
              <w:rPr>
                <w:rFonts w:cstheme="minorHAnsi"/>
              </w:rPr>
              <w:t xml:space="preserve">: </w:t>
            </w:r>
            <w:r w:rsidR="00C61823" w:rsidRPr="00CA0415">
              <w:rPr>
                <w:rFonts w:cstheme="minorHAnsi"/>
              </w:rPr>
              <w:t>Preservation of Blood and Blood Components</w:t>
            </w:r>
          </w:p>
        </w:tc>
      </w:tr>
      <w:tr w:rsidR="00E76192" w:rsidRPr="00CA0415" w:rsidTr="00E76192">
        <w:tc>
          <w:tcPr>
            <w:tcW w:w="9242" w:type="dxa"/>
            <w:gridSpan w:val="5"/>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pStyle w:val="NoSpacing"/>
              <w:rPr>
                <w:rFonts w:asciiTheme="minorHAnsi" w:hAnsiTheme="minorHAnsi" w:cstheme="minorHAnsi"/>
                <w:bCs/>
                <w:lang w:eastAsia="en-GB"/>
              </w:rPr>
            </w:pPr>
            <w:r w:rsidRPr="00CA0415">
              <w:rPr>
                <w:rFonts w:asciiTheme="minorHAnsi" w:hAnsiTheme="minorHAnsi" w:cstheme="minorHAnsi"/>
                <w:b/>
              </w:rPr>
              <w:t>FUNCTION</w:t>
            </w:r>
            <w:r w:rsidR="00A214E4" w:rsidRPr="00CA0415">
              <w:rPr>
                <w:rFonts w:asciiTheme="minorHAnsi" w:hAnsiTheme="minorHAnsi" w:cstheme="minorHAnsi"/>
                <w:b/>
              </w:rPr>
              <w:t xml:space="preserve">        </w:t>
            </w:r>
            <w:r w:rsidRPr="00CA0415">
              <w:rPr>
                <w:rFonts w:asciiTheme="minorHAnsi" w:hAnsiTheme="minorHAnsi" w:cstheme="minorHAnsi"/>
              </w:rPr>
              <w:t xml:space="preserve">: </w:t>
            </w:r>
            <w:r w:rsidR="00C61823" w:rsidRPr="00CA0415">
              <w:rPr>
                <w:rFonts w:asciiTheme="minorHAnsi" w:hAnsiTheme="minorHAnsi" w:cstheme="minorHAnsi"/>
              </w:rPr>
              <w:t>Optimum storage of Blood and Blood Components</w:t>
            </w:r>
          </w:p>
        </w:tc>
      </w:tr>
      <w:tr w:rsidR="00E76192" w:rsidRPr="00CA0415" w:rsidTr="00E76192">
        <w:tc>
          <w:tcPr>
            <w:tcW w:w="9242" w:type="dxa"/>
            <w:gridSpan w:val="5"/>
            <w:tcBorders>
              <w:top w:val="single" w:sz="4" w:space="0" w:color="000000"/>
              <w:left w:val="single" w:sz="4" w:space="0" w:color="000000"/>
              <w:bottom w:val="single" w:sz="4" w:space="0" w:color="000000"/>
              <w:right w:val="single" w:sz="4" w:space="0" w:color="000000"/>
            </w:tcBorders>
            <w:hideMark/>
          </w:tcPr>
          <w:p w:rsidR="00E76192" w:rsidRPr="00CA0415" w:rsidRDefault="00E76192" w:rsidP="00C61823">
            <w:pPr>
              <w:spacing w:after="0" w:line="240" w:lineRule="auto"/>
              <w:rPr>
                <w:rFonts w:cstheme="minorHAnsi"/>
              </w:rPr>
            </w:pPr>
            <w:r w:rsidRPr="00CA0415">
              <w:rPr>
                <w:rFonts w:cstheme="minorHAnsi"/>
                <w:b/>
                <w:sz w:val="24"/>
              </w:rPr>
              <w:t>DISTRIBUTION</w:t>
            </w:r>
            <w:r w:rsidRPr="00CA0415">
              <w:rPr>
                <w:rFonts w:cstheme="minorHAnsi"/>
              </w:rPr>
              <w:t xml:space="preserve">: </w:t>
            </w:r>
            <w:r w:rsidR="00C61823" w:rsidRPr="00CA0415">
              <w:rPr>
                <w:rFonts w:cstheme="minorHAnsi"/>
              </w:rPr>
              <w:t>Supervisor in charge of Storage &amp; Distribution</w:t>
            </w:r>
          </w:p>
          <w:p w:rsidR="00E76192" w:rsidRPr="00CA0415" w:rsidRDefault="00E76192" w:rsidP="00C61823">
            <w:pPr>
              <w:spacing w:after="0" w:line="240" w:lineRule="auto"/>
              <w:jc w:val="both"/>
              <w:rPr>
                <w:rFonts w:cstheme="minorHAnsi"/>
                <w:b/>
                <w:sz w:val="24"/>
                <w:szCs w:val="24"/>
                <w:lang w:eastAsia="en-US"/>
              </w:rPr>
            </w:pPr>
            <w:r w:rsidRPr="00CA0415">
              <w:rPr>
                <w:rFonts w:cstheme="minorHAnsi"/>
              </w:rPr>
              <w:t xml:space="preserve">                               </w:t>
            </w:r>
            <w:r w:rsidR="00A214E4" w:rsidRPr="00CA0415">
              <w:rPr>
                <w:rFonts w:cstheme="minorHAnsi"/>
              </w:rPr>
              <w:t xml:space="preserve"> </w:t>
            </w:r>
            <w:r w:rsidRPr="00CA0415">
              <w:rPr>
                <w:rFonts w:cstheme="minorHAnsi"/>
              </w:rPr>
              <w:t>Master File</w:t>
            </w:r>
          </w:p>
        </w:tc>
      </w:tr>
    </w:tbl>
    <w:p w:rsidR="00E76192" w:rsidRPr="00CA0415" w:rsidRDefault="00E76192" w:rsidP="00B370F0">
      <w:pPr>
        <w:spacing w:after="0" w:line="360" w:lineRule="auto"/>
        <w:rPr>
          <w:rFonts w:cstheme="minorHAnsi"/>
          <w:sz w:val="24"/>
          <w:szCs w:val="24"/>
          <w:lang w:eastAsia="en-US"/>
        </w:rPr>
      </w:pPr>
    </w:p>
    <w:p w:rsidR="00157BDB" w:rsidRPr="00CA0415" w:rsidRDefault="00157BDB" w:rsidP="00B370F0">
      <w:pPr>
        <w:pStyle w:val="ListParagraph"/>
        <w:numPr>
          <w:ilvl w:val="0"/>
          <w:numId w:val="9"/>
        </w:numPr>
        <w:spacing w:line="360" w:lineRule="auto"/>
        <w:ind w:left="567" w:hanging="567"/>
        <w:jc w:val="both"/>
        <w:rPr>
          <w:rFonts w:asciiTheme="minorHAnsi" w:hAnsiTheme="minorHAnsi" w:cstheme="minorHAnsi"/>
          <w:b/>
        </w:rPr>
      </w:pPr>
      <w:r w:rsidRPr="00CA0415">
        <w:rPr>
          <w:rFonts w:asciiTheme="minorHAnsi" w:hAnsiTheme="minorHAnsi" w:cstheme="minorHAnsi"/>
          <w:b/>
        </w:rPr>
        <w:t>SCOPE &amp; APPLICATION:</w:t>
      </w:r>
    </w:p>
    <w:p w:rsidR="00157BDB" w:rsidRPr="00CA0415" w:rsidRDefault="00157BDB" w:rsidP="00B370F0">
      <w:pPr>
        <w:pStyle w:val="BodyTextIndent"/>
        <w:spacing w:after="0" w:line="360" w:lineRule="auto"/>
        <w:ind w:left="567"/>
        <w:jc w:val="both"/>
        <w:rPr>
          <w:rFonts w:cstheme="minorHAnsi"/>
          <w:sz w:val="24"/>
          <w:szCs w:val="24"/>
        </w:rPr>
      </w:pPr>
      <w:r w:rsidRPr="00CA0415">
        <w:rPr>
          <w:rFonts w:cstheme="minorHAnsi"/>
          <w:sz w:val="24"/>
          <w:szCs w:val="24"/>
        </w:rPr>
        <w:t>Blood components prepared are stored in conditions designed to preserve optimal viability and function during the storage period. (Table 1)</w:t>
      </w:r>
    </w:p>
    <w:p w:rsidR="00157BDB" w:rsidRPr="00CA0415" w:rsidRDefault="00157BDB" w:rsidP="00B370F0">
      <w:pPr>
        <w:pStyle w:val="ListParagraph"/>
        <w:numPr>
          <w:ilvl w:val="0"/>
          <w:numId w:val="9"/>
        </w:numPr>
        <w:spacing w:line="360" w:lineRule="auto"/>
        <w:ind w:left="567" w:hanging="567"/>
        <w:jc w:val="both"/>
        <w:rPr>
          <w:rFonts w:asciiTheme="minorHAnsi" w:hAnsiTheme="minorHAnsi" w:cstheme="minorHAnsi"/>
          <w:b/>
        </w:rPr>
      </w:pPr>
      <w:r w:rsidRPr="00CA0415">
        <w:rPr>
          <w:rFonts w:asciiTheme="minorHAnsi" w:hAnsiTheme="minorHAnsi" w:cstheme="minorHAnsi"/>
          <w:b/>
        </w:rPr>
        <w:t>RESPONSIBILITY:</w:t>
      </w:r>
    </w:p>
    <w:p w:rsidR="00157BDB" w:rsidRPr="00CA0415" w:rsidRDefault="00157BDB" w:rsidP="00B370F0">
      <w:pPr>
        <w:pStyle w:val="BodyTextIndent"/>
        <w:spacing w:after="0" w:line="360" w:lineRule="auto"/>
        <w:ind w:left="567"/>
        <w:jc w:val="both"/>
        <w:rPr>
          <w:rFonts w:cstheme="minorHAnsi"/>
          <w:sz w:val="24"/>
          <w:szCs w:val="24"/>
        </w:rPr>
      </w:pPr>
      <w:r w:rsidRPr="00CA0415">
        <w:rPr>
          <w:rFonts w:cstheme="minorHAnsi"/>
          <w:sz w:val="24"/>
          <w:szCs w:val="24"/>
        </w:rPr>
        <w:t>It is the responsibility of the technical staff from the component laboratory to keep the units in the quarantine storage. The technologist who labels the units after the testing is responsible to transfer the labelled units in their respective storage areas.</w:t>
      </w:r>
    </w:p>
    <w:p w:rsidR="00157BDB" w:rsidRPr="00CA0415" w:rsidRDefault="00216FD3" w:rsidP="00216FD3">
      <w:pPr>
        <w:numPr>
          <w:ilvl w:val="0"/>
          <w:numId w:val="5"/>
        </w:numPr>
        <w:tabs>
          <w:tab w:val="clear" w:pos="720"/>
          <w:tab w:val="num" w:pos="567"/>
        </w:tabs>
        <w:spacing w:after="0" w:line="360" w:lineRule="auto"/>
        <w:ind w:left="567" w:hanging="567"/>
        <w:jc w:val="both"/>
        <w:rPr>
          <w:rFonts w:cstheme="minorHAnsi"/>
          <w:b/>
          <w:sz w:val="24"/>
          <w:szCs w:val="24"/>
        </w:rPr>
      </w:pPr>
      <w:r w:rsidRPr="00CA0415">
        <w:rPr>
          <w:rFonts w:cstheme="minorHAnsi"/>
          <w:b/>
          <w:sz w:val="24"/>
          <w:szCs w:val="24"/>
        </w:rPr>
        <w:t>MATERIALS REQUIRED</w:t>
      </w:r>
      <w:r w:rsidR="00157BDB" w:rsidRPr="00CA0415">
        <w:rPr>
          <w:rFonts w:cstheme="minorHAnsi"/>
          <w:b/>
          <w:sz w:val="24"/>
          <w:szCs w:val="24"/>
        </w:rPr>
        <w:t>:</w:t>
      </w:r>
    </w:p>
    <w:p w:rsidR="00157BDB" w:rsidRPr="00CA0415" w:rsidRDefault="00157BDB" w:rsidP="00216FD3">
      <w:pPr>
        <w:spacing w:after="0" w:line="360" w:lineRule="auto"/>
        <w:ind w:left="567"/>
        <w:jc w:val="both"/>
        <w:rPr>
          <w:rFonts w:cstheme="minorHAnsi"/>
          <w:sz w:val="24"/>
          <w:szCs w:val="24"/>
        </w:rPr>
      </w:pPr>
      <w:r w:rsidRPr="00CA0415">
        <w:rPr>
          <w:rFonts w:cstheme="minorHAnsi"/>
          <w:sz w:val="24"/>
          <w:szCs w:val="24"/>
        </w:rPr>
        <w:t>Storage Equipment</w:t>
      </w:r>
    </w:p>
    <w:p w:rsidR="00157BDB" w:rsidRPr="00CA0415" w:rsidRDefault="00157BDB" w:rsidP="00B370F0">
      <w:pPr>
        <w:numPr>
          <w:ilvl w:val="0"/>
          <w:numId w:val="6"/>
        </w:numPr>
        <w:spacing w:after="0" w:line="360" w:lineRule="auto"/>
        <w:jc w:val="both"/>
        <w:rPr>
          <w:rFonts w:cstheme="minorHAnsi"/>
          <w:sz w:val="24"/>
          <w:szCs w:val="24"/>
        </w:rPr>
      </w:pPr>
      <w:r w:rsidRPr="00CA0415">
        <w:rPr>
          <w:rFonts w:cstheme="minorHAnsi"/>
          <w:sz w:val="24"/>
          <w:szCs w:val="24"/>
        </w:rPr>
        <w:t>Blood bank Refrigerator</w:t>
      </w:r>
    </w:p>
    <w:p w:rsidR="00157BDB" w:rsidRPr="00CA0415" w:rsidRDefault="00157BDB" w:rsidP="00B370F0">
      <w:pPr>
        <w:numPr>
          <w:ilvl w:val="0"/>
          <w:numId w:val="6"/>
        </w:numPr>
        <w:spacing w:after="0" w:line="360" w:lineRule="auto"/>
        <w:jc w:val="both"/>
        <w:rPr>
          <w:rFonts w:cstheme="minorHAnsi"/>
          <w:sz w:val="24"/>
          <w:szCs w:val="24"/>
        </w:rPr>
      </w:pPr>
      <w:r w:rsidRPr="00CA0415">
        <w:rPr>
          <w:rFonts w:cstheme="minorHAnsi"/>
          <w:sz w:val="24"/>
          <w:szCs w:val="24"/>
        </w:rPr>
        <w:t>Deep Freezer</w:t>
      </w:r>
    </w:p>
    <w:p w:rsidR="00157BDB" w:rsidRPr="00CA0415" w:rsidRDefault="00157BDB" w:rsidP="00B370F0">
      <w:pPr>
        <w:numPr>
          <w:ilvl w:val="0"/>
          <w:numId w:val="7"/>
        </w:numPr>
        <w:spacing w:after="0" w:line="360" w:lineRule="auto"/>
        <w:jc w:val="both"/>
        <w:rPr>
          <w:rFonts w:cstheme="minorHAnsi"/>
          <w:sz w:val="24"/>
          <w:szCs w:val="24"/>
        </w:rPr>
      </w:pPr>
      <w:r w:rsidRPr="00CA0415">
        <w:rPr>
          <w:rFonts w:cstheme="minorHAnsi"/>
          <w:sz w:val="24"/>
          <w:szCs w:val="24"/>
        </w:rPr>
        <w:t>Platelet incubator</w:t>
      </w:r>
    </w:p>
    <w:p w:rsidR="00157BDB" w:rsidRPr="00CA0415" w:rsidRDefault="00157BDB" w:rsidP="00B370F0">
      <w:pPr>
        <w:numPr>
          <w:ilvl w:val="0"/>
          <w:numId w:val="7"/>
        </w:numPr>
        <w:spacing w:after="0" w:line="360" w:lineRule="auto"/>
        <w:jc w:val="both"/>
        <w:rPr>
          <w:rFonts w:cstheme="minorHAnsi"/>
          <w:sz w:val="24"/>
          <w:szCs w:val="24"/>
        </w:rPr>
      </w:pPr>
      <w:r w:rsidRPr="00CA0415">
        <w:rPr>
          <w:rFonts w:cstheme="minorHAnsi"/>
          <w:sz w:val="24"/>
          <w:szCs w:val="24"/>
        </w:rPr>
        <w:t>Platelet agitator</w:t>
      </w:r>
    </w:p>
    <w:p w:rsidR="00157BDB" w:rsidRPr="00CA0415" w:rsidRDefault="00157BDB" w:rsidP="00B370F0">
      <w:pPr>
        <w:spacing w:after="0" w:line="360" w:lineRule="auto"/>
        <w:jc w:val="both"/>
        <w:rPr>
          <w:rFonts w:cstheme="minorHAnsi"/>
          <w:b/>
          <w:sz w:val="24"/>
          <w:szCs w:val="24"/>
        </w:rPr>
      </w:pPr>
    </w:p>
    <w:p w:rsidR="00157BDB" w:rsidRPr="00CA0415" w:rsidRDefault="00157BDB" w:rsidP="00216FD3">
      <w:pPr>
        <w:pStyle w:val="ListParagraph"/>
        <w:numPr>
          <w:ilvl w:val="0"/>
          <w:numId w:val="5"/>
        </w:numPr>
        <w:tabs>
          <w:tab w:val="clear" w:pos="720"/>
          <w:tab w:val="num" w:pos="567"/>
        </w:tabs>
        <w:spacing w:line="360" w:lineRule="auto"/>
        <w:ind w:left="567" w:hanging="567"/>
        <w:jc w:val="both"/>
        <w:rPr>
          <w:rFonts w:asciiTheme="minorHAnsi" w:hAnsiTheme="minorHAnsi" w:cstheme="minorHAnsi"/>
          <w:b/>
        </w:rPr>
      </w:pPr>
      <w:r w:rsidRPr="00CA0415">
        <w:rPr>
          <w:rFonts w:asciiTheme="minorHAnsi" w:hAnsiTheme="minorHAnsi" w:cstheme="minorHAnsi"/>
          <w:b/>
        </w:rPr>
        <w:t>PROCEDURE:</w:t>
      </w:r>
    </w:p>
    <w:p w:rsidR="00157BDB" w:rsidRPr="00CA0415" w:rsidRDefault="00157BDB" w:rsidP="00B370F0">
      <w:pPr>
        <w:spacing w:after="0" w:line="360" w:lineRule="auto"/>
        <w:jc w:val="both"/>
        <w:rPr>
          <w:rFonts w:cstheme="minorHAnsi"/>
          <w:sz w:val="24"/>
          <w:szCs w:val="24"/>
        </w:rPr>
      </w:pP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All untested units should be kept in the quarantine area</w:t>
      </w:r>
      <w:r w:rsidR="00CA7832" w:rsidRPr="00CA0415">
        <w:rPr>
          <w:rFonts w:cstheme="minorHAnsi"/>
          <w:sz w:val="24"/>
          <w:szCs w:val="24"/>
        </w:rPr>
        <w:t xml:space="preserve"> in the </w:t>
      </w:r>
      <w:r w:rsidR="0065626C" w:rsidRPr="00CA0415">
        <w:rPr>
          <w:rFonts w:cstheme="minorHAnsi"/>
          <w:sz w:val="24"/>
          <w:szCs w:val="24"/>
        </w:rPr>
        <w:t>DESIGNATED UNSCREENED storage areas.</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lastRenderedPageBreak/>
        <w:t xml:space="preserve">After testing is over, release the fully tested. Transfer those deemed suitable for clinical use from quarantine area to the stock area after labelling.  (Refer table No. 1).   </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Label those found unsuitable for use with a biohazard label and keep for disposal.</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 xml:space="preserve">Store whole blood and Red Cell concentrates on metal rack stand in the </w:t>
      </w:r>
      <w:r w:rsidR="0065626C" w:rsidRPr="00CA0415">
        <w:rPr>
          <w:rFonts w:cstheme="minorHAnsi"/>
          <w:sz w:val="24"/>
          <w:szCs w:val="24"/>
        </w:rPr>
        <w:t xml:space="preserve"> Blood Bank Refrigerator in the serology lab designated for screened PRBC units </w:t>
      </w:r>
      <w:r w:rsidRPr="00CA0415">
        <w:rPr>
          <w:rFonts w:cstheme="minorHAnsi"/>
          <w:sz w:val="24"/>
          <w:szCs w:val="24"/>
        </w:rPr>
        <w:t>(4 – 6</w:t>
      </w:r>
      <w:r w:rsidRPr="00CA0415">
        <w:rPr>
          <w:rFonts w:cstheme="minorHAnsi"/>
          <w:sz w:val="24"/>
          <w:szCs w:val="24"/>
          <w:vertAlign w:val="superscript"/>
        </w:rPr>
        <w:t>0</w:t>
      </w:r>
      <w:r w:rsidR="004E6884">
        <w:rPr>
          <w:rFonts w:cstheme="minorHAnsi"/>
          <w:sz w:val="24"/>
          <w:szCs w:val="24"/>
          <w:vertAlign w:val="superscript"/>
        </w:rPr>
        <w:t xml:space="preserve"> </w:t>
      </w:r>
      <w:r w:rsidRPr="00CA0415">
        <w:rPr>
          <w:rFonts w:cstheme="minorHAnsi"/>
          <w:sz w:val="24"/>
          <w:szCs w:val="24"/>
        </w:rPr>
        <w:t xml:space="preserve">C). Each shelf is reserved for a particular group having its label stuck on the outer side. Arrange the blood bags in chronological order, group wise and according to the expiry dates in trays </w:t>
      </w:r>
      <w:r w:rsidR="000C4E83" w:rsidRPr="00CA0415">
        <w:rPr>
          <w:rFonts w:cstheme="minorHAnsi"/>
          <w:sz w:val="24"/>
          <w:szCs w:val="24"/>
        </w:rPr>
        <w:t xml:space="preserve">with oldest first. </w:t>
      </w:r>
      <w:r w:rsidRPr="00CA0415">
        <w:rPr>
          <w:rFonts w:cstheme="minorHAnsi"/>
          <w:sz w:val="24"/>
          <w:szCs w:val="24"/>
        </w:rPr>
        <w:t>This makes it very easy for the technologists on duty to remove the bags for issuing, whenever required.</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Store blood collected in CPD-A1 and the red cells separated in a closed system up to 35 days. Store the red cells suspended in additive solutions up to 42 days. Use red cells prepared in open system within 24 hours of preparation.</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Keep Fresh Frozen Plasma, cryoprecipitate and FVIII deficient plasma bags in over wrap bags and then arrange in plastic trays in the Deep Freezer (-40</w:t>
      </w:r>
      <w:r w:rsidRPr="00CA0415">
        <w:rPr>
          <w:rFonts w:cstheme="minorHAnsi"/>
          <w:sz w:val="24"/>
          <w:szCs w:val="24"/>
          <w:vertAlign w:val="superscript"/>
        </w:rPr>
        <w:t>0</w:t>
      </w:r>
      <w:r w:rsidRPr="00CA0415">
        <w:rPr>
          <w:rFonts w:cstheme="minorHAnsi"/>
          <w:sz w:val="24"/>
          <w:szCs w:val="24"/>
        </w:rPr>
        <w:t>C) immediately after separation. The shelf life of all these plasma components is 1 year. FFP once thawed and then refrozen is used only as FVIII deficient plasma.</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Place Random donor platelets (RDP), Single Donor Platelets (SDP) in a platelet incubator at 20 – 22</w:t>
      </w:r>
      <w:r w:rsidRPr="00CA0415">
        <w:rPr>
          <w:rFonts w:cstheme="minorHAnsi"/>
          <w:sz w:val="24"/>
          <w:szCs w:val="24"/>
          <w:vertAlign w:val="superscript"/>
        </w:rPr>
        <w:t>0</w:t>
      </w:r>
      <w:r w:rsidR="004E6884">
        <w:rPr>
          <w:rFonts w:cstheme="minorHAnsi"/>
          <w:sz w:val="24"/>
          <w:szCs w:val="24"/>
          <w:vertAlign w:val="superscript"/>
        </w:rPr>
        <w:t xml:space="preserve"> </w:t>
      </w:r>
      <w:r w:rsidRPr="00CA0415">
        <w:rPr>
          <w:rFonts w:cstheme="minorHAnsi"/>
          <w:sz w:val="24"/>
          <w:szCs w:val="24"/>
        </w:rPr>
        <w:t>C on a</w:t>
      </w:r>
      <w:r w:rsidR="0014260A" w:rsidRPr="00CA0415">
        <w:rPr>
          <w:rFonts w:cstheme="minorHAnsi"/>
          <w:sz w:val="24"/>
          <w:szCs w:val="24"/>
        </w:rPr>
        <w:t>n</w:t>
      </w:r>
      <w:r w:rsidRPr="00CA0415">
        <w:rPr>
          <w:rFonts w:cstheme="minorHAnsi"/>
          <w:sz w:val="24"/>
          <w:szCs w:val="24"/>
        </w:rPr>
        <w:t xml:space="preserve"> agitator which has shelves to store them. Store the concentra</w:t>
      </w:r>
      <w:r w:rsidR="0014260A" w:rsidRPr="00CA0415">
        <w:rPr>
          <w:rFonts w:cstheme="minorHAnsi"/>
          <w:sz w:val="24"/>
          <w:szCs w:val="24"/>
        </w:rPr>
        <w:t xml:space="preserve">tes prepared in PVC bags up to 5 </w:t>
      </w:r>
      <w:r w:rsidRPr="00CA0415">
        <w:rPr>
          <w:rFonts w:cstheme="minorHAnsi"/>
          <w:sz w:val="24"/>
          <w:szCs w:val="24"/>
        </w:rPr>
        <w:t>days and those prepared in special platelet</w:t>
      </w:r>
      <w:r w:rsidR="0014260A" w:rsidRPr="00CA0415">
        <w:rPr>
          <w:rFonts w:cstheme="minorHAnsi"/>
          <w:sz w:val="24"/>
          <w:szCs w:val="24"/>
        </w:rPr>
        <w:t xml:space="preserve"> apheresis  bags up to 7</w:t>
      </w:r>
      <w:r w:rsidRPr="00CA0415">
        <w:rPr>
          <w:rFonts w:cstheme="minorHAnsi"/>
          <w:sz w:val="24"/>
          <w:szCs w:val="24"/>
        </w:rPr>
        <w:t xml:space="preserve"> days.</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Take due care to maintain sterility of all components by keeping all storage areas clean.</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 xml:space="preserve">Monitor to ensure the storage conditions to be appropriate and correct for each product. Monitor the temperature of all storage areas with continuous graphic recorder. Change the charts every week, and achieve them. Check the alarm system every month. </w:t>
      </w:r>
    </w:p>
    <w:p w:rsidR="00157BDB" w:rsidRPr="00CA0415" w:rsidRDefault="00157BDB" w:rsidP="00216FD3">
      <w:pPr>
        <w:numPr>
          <w:ilvl w:val="0"/>
          <w:numId w:val="4"/>
        </w:numPr>
        <w:tabs>
          <w:tab w:val="clear" w:pos="1440"/>
          <w:tab w:val="num" w:pos="1134"/>
        </w:tabs>
        <w:spacing w:after="0" w:line="360" w:lineRule="auto"/>
        <w:ind w:left="1134"/>
        <w:jc w:val="both"/>
        <w:rPr>
          <w:rFonts w:cstheme="minorHAnsi"/>
          <w:sz w:val="24"/>
          <w:szCs w:val="24"/>
        </w:rPr>
      </w:pPr>
      <w:r w:rsidRPr="00CA0415">
        <w:rPr>
          <w:rFonts w:cstheme="minorHAnsi"/>
          <w:sz w:val="24"/>
          <w:szCs w:val="24"/>
        </w:rPr>
        <w:t xml:space="preserve">Similarly, after labelling the plasma </w:t>
      </w:r>
      <w:r w:rsidR="0014260A" w:rsidRPr="00CA0415">
        <w:rPr>
          <w:rFonts w:cstheme="minorHAnsi"/>
          <w:sz w:val="24"/>
          <w:szCs w:val="24"/>
        </w:rPr>
        <w:t>bags</w:t>
      </w:r>
      <w:r w:rsidRPr="00CA0415">
        <w:rPr>
          <w:rFonts w:cstheme="minorHAnsi"/>
          <w:sz w:val="24"/>
          <w:szCs w:val="24"/>
        </w:rPr>
        <w:t xml:space="preserve"> enter the unit numbers group wise in the stock register. Make FFP entries on the right hand page of the stock register, </w:t>
      </w:r>
      <w:r w:rsidRPr="00CA0415">
        <w:rPr>
          <w:rFonts w:cstheme="minorHAnsi"/>
          <w:sz w:val="24"/>
          <w:szCs w:val="24"/>
        </w:rPr>
        <w:lastRenderedPageBreak/>
        <w:t>whereas Factor VIII-D plasma &amp; Cryo units on the left hand page. Carry out p</w:t>
      </w:r>
      <w:r w:rsidR="0014260A" w:rsidRPr="00CA0415">
        <w:rPr>
          <w:rFonts w:cstheme="minorHAnsi"/>
          <w:sz w:val="24"/>
          <w:szCs w:val="24"/>
        </w:rPr>
        <w:t>hysical stock taking every morning</w:t>
      </w:r>
      <w:r w:rsidRPr="00CA0415">
        <w:rPr>
          <w:rFonts w:cstheme="minorHAnsi"/>
          <w:sz w:val="24"/>
          <w:szCs w:val="24"/>
        </w:rPr>
        <w:t xml:space="preserve"> and rewrite the inventory.</w:t>
      </w:r>
    </w:p>
    <w:p w:rsidR="0070700A" w:rsidRPr="00CA0415" w:rsidRDefault="0070700A" w:rsidP="0070700A">
      <w:pPr>
        <w:spacing w:after="0" w:line="360" w:lineRule="auto"/>
        <w:ind w:left="1134"/>
        <w:jc w:val="both"/>
        <w:rPr>
          <w:rFonts w:cstheme="minorHAnsi"/>
          <w:sz w:val="24"/>
          <w:szCs w:val="24"/>
        </w:rPr>
      </w:pPr>
    </w:p>
    <w:p w:rsidR="0070700A" w:rsidRPr="00CA0415" w:rsidRDefault="0070700A" w:rsidP="0070700A">
      <w:pPr>
        <w:spacing w:after="0" w:line="360" w:lineRule="auto"/>
        <w:ind w:left="1134"/>
        <w:jc w:val="center"/>
        <w:rPr>
          <w:rFonts w:cstheme="minorHAnsi"/>
          <w:b/>
          <w:sz w:val="24"/>
          <w:szCs w:val="24"/>
        </w:rPr>
      </w:pPr>
      <w:r w:rsidRPr="00CA0415">
        <w:rPr>
          <w:rFonts w:cstheme="minorHAnsi"/>
          <w:b/>
          <w:sz w:val="24"/>
          <w:szCs w:val="24"/>
        </w:rPr>
        <w:t>Table 1</w:t>
      </w:r>
    </w:p>
    <w:tbl>
      <w:tblPr>
        <w:tblStyle w:val="TableGrid"/>
        <w:tblW w:w="8505" w:type="dxa"/>
        <w:tblInd w:w="675" w:type="dxa"/>
        <w:tblLayout w:type="fixed"/>
        <w:tblLook w:val="04A0"/>
      </w:tblPr>
      <w:tblGrid>
        <w:gridCol w:w="1560"/>
        <w:gridCol w:w="1842"/>
        <w:gridCol w:w="1276"/>
        <w:gridCol w:w="1276"/>
        <w:gridCol w:w="1559"/>
        <w:gridCol w:w="992"/>
      </w:tblGrid>
      <w:tr w:rsidR="00E830E4" w:rsidRPr="00CA0415" w:rsidTr="00571A90">
        <w:trPr>
          <w:trHeight w:val="467"/>
        </w:trPr>
        <w:tc>
          <w:tcPr>
            <w:tcW w:w="1560" w:type="dxa"/>
          </w:tcPr>
          <w:p w:rsidR="00E830E4" w:rsidRPr="00CA0415" w:rsidRDefault="00E830E4" w:rsidP="00CA0415">
            <w:pPr>
              <w:spacing w:line="360" w:lineRule="auto"/>
              <w:jc w:val="center"/>
              <w:rPr>
                <w:rFonts w:cstheme="minorHAnsi"/>
                <w:sz w:val="24"/>
                <w:szCs w:val="24"/>
              </w:rPr>
            </w:pPr>
            <w:r w:rsidRPr="00CA0415">
              <w:rPr>
                <w:rFonts w:cstheme="minorHAnsi"/>
                <w:b/>
                <w:bCs/>
                <w:color w:val="1F1A17"/>
                <w:sz w:val="24"/>
                <w:szCs w:val="24"/>
                <w:lang w:val="en-IN"/>
              </w:rPr>
              <w:t>PRODUCT</w:t>
            </w:r>
          </w:p>
        </w:tc>
        <w:tc>
          <w:tcPr>
            <w:tcW w:w="1842" w:type="dxa"/>
          </w:tcPr>
          <w:p w:rsidR="00E830E4" w:rsidRPr="009F660C" w:rsidRDefault="0070700A" w:rsidP="00CA0415">
            <w:pPr>
              <w:spacing w:line="360" w:lineRule="auto"/>
              <w:jc w:val="center"/>
              <w:rPr>
                <w:rFonts w:cstheme="minorHAnsi"/>
                <w:b/>
                <w:sz w:val="24"/>
                <w:szCs w:val="24"/>
              </w:rPr>
            </w:pPr>
            <w:r w:rsidRPr="009F660C">
              <w:rPr>
                <w:rFonts w:cstheme="minorHAnsi"/>
                <w:b/>
                <w:sz w:val="24"/>
                <w:szCs w:val="24"/>
              </w:rPr>
              <w:t>PRBC</w:t>
            </w:r>
          </w:p>
        </w:tc>
        <w:tc>
          <w:tcPr>
            <w:tcW w:w="1276" w:type="dxa"/>
          </w:tcPr>
          <w:p w:rsidR="00E830E4" w:rsidRPr="00CA0415" w:rsidRDefault="00E830E4" w:rsidP="00CA0415">
            <w:pPr>
              <w:spacing w:line="360" w:lineRule="auto"/>
              <w:jc w:val="center"/>
              <w:rPr>
                <w:rFonts w:cstheme="minorHAnsi"/>
                <w:sz w:val="24"/>
                <w:szCs w:val="24"/>
              </w:rPr>
            </w:pPr>
            <w:r w:rsidRPr="00CA0415">
              <w:rPr>
                <w:rFonts w:cstheme="minorHAnsi"/>
                <w:b/>
                <w:bCs/>
                <w:color w:val="1F1A17"/>
                <w:sz w:val="24"/>
                <w:szCs w:val="24"/>
                <w:lang w:val="en-IN"/>
              </w:rPr>
              <w:t>FFP</w:t>
            </w:r>
          </w:p>
        </w:tc>
        <w:tc>
          <w:tcPr>
            <w:tcW w:w="1276" w:type="dxa"/>
          </w:tcPr>
          <w:p w:rsidR="00E830E4" w:rsidRPr="00CA0415" w:rsidRDefault="0070700A" w:rsidP="00CA0415">
            <w:pPr>
              <w:spacing w:line="360" w:lineRule="auto"/>
              <w:jc w:val="center"/>
              <w:rPr>
                <w:rFonts w:cstheme="minorHAnsi"/>
                <w:sz w:val="24"/>
                <w:szCs w:val="24"/>
              </w:rPr>
            </w:pPr>
            <w:r w:rsidRPr="00CA0415">
              <w:rPr>
                <w:rFonts w:cstheme="minorHAnsi"/>
                <w:b/>
                <w:bCs/>
                <w:color w:val="1F1A17"/>
                <w:sz w:val="24"/>
                <w:szCs w:val="24"/>
                <w:lang w:val="en-IN"/>
              </w:rPr>
              <w:t>CPP</w:t>
            </w:r>
          </w:p>
        </w:tc>
        <w:tc>
          <w:tcPr>
            <w:tcW w:w="1559" w:type="dxa"/>
          </w:tcPr>
          <w:p w:rsidR="00E830E4" w:rsidRPr="00CA0415" w:rsidRDefault="00E830E4" w:rsidP="00CA0415">
            <w:pPr>
              <w:spacing w:line="360" w:lineRule="auto"/>
              <w:jc w:val="center"/>
              <w:rPr>
                <w:rFonts w:cstheme="minorHAnsi"/>
                <w:sz w:val="24"/>
                <w:szCs w:val="24"/>
              </w:rPr>
            </w:pPr>
            <w:r w:rsidRPr="009F660C">
              <w:rPr>
                <w:rFonts w:cstheme="minorHAnsi"/>
                <w:b/>
                <w:bCs/>
                <w:color w:val="1F1A17"/>
                <w:sz w:val="24"/>
                <w:szCs w:val="24"/>
                <w:lang w:val="en-IN"/>
              </w:rPr>
              <w:t>PLATELETS</w:t>
            </w:r>
          </w:p>
        </w:tc>
        <w:tc>
          <w:tcPr>
            <w:tcW w:w="992" w:type="dxa"/>
          </w:tcPr>
          <w:p w:rsidR="00E830E4" w:rsidRPr="00CA0415" w:rsidRDefault="00E830E4" w:rsidP="00CA0415">
            <w:pPr>
              <w:spacing w:line="360" w:lineRule="auto"/>
              <w:jc w:val="center"/>
              <w:rPr>
                <w:rFonts w:cstheme="minorHAnsi"/>
                <w:sz w:val="24"/>
                <w:szCs w:val="24"/>
              </w:rPr>
            </w:pPr>
            <w:r w:rsidRPr="00CA0415">
              <w:rPr>
                <w:rFonts w:cstheme="minorHAnsi"/>
                <w:b/>
                <w:bCs/>
                <w:color w:val="1F1A17"/>
                <w:sz w:val="24"/>
                <w:szCs w:val="24"/>
                <w:lang w:val="en-IN"/>
              </w:rPr>
              <w:t>CRYO</w:t>
            </w:r>
          </w:p>
        </w:tc>
      </w:tr>
      <w:tr w:rsidR="00E830E4" w:rsidRPr="00CA0415" w:rsidTr="00571A90">
        <w:tc>
          <w:tcPr>
            <w:tcW w:w="1560" w:type="dxa"/>
          </w:tcPr>
          <w:p w:rsidR="00E830E4" w:rsidRPr="00CA0415" w:rsidRDefault="00E830E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Storage</w:t>
            </w:r>
          </w:p>
          <w:p w:rsidR="00E830E4" w:rsidRPr="00CA0415" w:rsidRDefault="00E830E4" w:rsidP="00CA0415">
            <w:pPr>
              <w:spacing w:line="360" w:lineRule="auto"/>
              <w:jc w:val="center"/>
              <w:rPr>
                <w:rFonts w:cstheme="minorHAnsi"/>
                <w:sz w:val="24"/>
                <w:szCs w:val="24"/>
              </w:rPr>
            </w:pPr>
            <w:r w:rsidRPr="00CA0415">
              <w:rPr>
                <w:rFonts w:cstheme="minorHAnsi"/>
                <w:color w:val="1F1A17"/>
                <w:sz w:val="24"/>
                <w:szCs w:val="24"/>
                <w:lang w:val="en-IN"/>
              </w:rPr>
              <w:t>Temperature</w:t>
            </w:r>
          </w:p>
        </w:tc>
        <w:tc>
          <w:tcPr>
            <w:tcW w:w="1842" w:type="dxa"/>
          </w:tcPr>
          <w:p w:rsidR="00E830E4" w:rsidRPr="00CA0415" w:rsidRDefault="00E830E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2-6</w:t>
            </w:r>
            <w:r w:rsidR="00CA0415" w:rsidRPr="00CA0415">
              <w:rPr>
                <w:rFonts w:cstheme="minorHAnsi"/>
                <w:sz w:val="24"/>
                <w:szCs w:val="24"/>
                <w:vertAlign w:val="superscript"/>
              </w:rPr>
              <w:t>0</w:t>
            </w:r>
            <w:r w:rsidR="00CA0415">
              <w:rPr>
                <w:rFonts w:cstheme="minorHAnsi"/>
                <w:sz w:val="24"/>
                <w:szCs w:val="24"/>
                <w:vertAlign w:val="superscript"/>
              </w:rPr>
              <w:t xml:space="preserve"> </w:t>
            </w:r>
            <w:r w:rsidRPr="00CA0415">
              <w:rPr>
                <w:rFonts w:cstheme="minorHAnsi"/>
                <w:color w:val="1F1A17"/>
                <w:sz w:val="24"/>
                <w:szCs w:val="24"/>
                <w:lang w:val="en-IN"/>
              </w:rPr>
              <w:t xml:space="preserve">C </w:t>
            </w:r>
          </w:p>
          <w:p w:rsidR="00E830E4" w:rsidRPr="00CA0415" w:rsidRDefault="00E830E4" w:rsidP="00CA0415">
            <w:pPr>
              <w:spacing w:line="360" w:lineRule="auto"/>
              <w:jc w:val="center"/>
              <w:rPr>
                <w:rFonts w:cstheme="minorHAnsi"/>
                <w:sz w:val="24"/>
                <w:szCs w:val="24"/>
              </w:rPr>
            </w:pPr>
          </w:p>
        </w:tc>
        <w:tc>
          <w:tcPr>
            <w:tcW w:w="1276" w:type="dxa"/>
          </w:tcPr>
          <w:p w:rsidR="008B64EE" w:rsidRPr="00CA0415" w:rsidRDefault="00E830E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-3</w:t>
            </w:r>
            <w:r w:rsidR="00CA0415">
              <w:rPr>
                <w:rFonts w:cstheme="minorHAnsi"/>
                <w:color w:val="1F1A17"/>
                <w:sz w:val="24"/>
                <w:szCs w:val="24"/>
                <w:lang w:val="en-IN"/>
              </w:rPr>
              <w:t>0</w:t>
            </w:r>
            <w:r w:rsidR="00CA0415" w:rsidRPr="00CA0415">
              <w:rPr>
                <w:rFonts w:cstheme="minorHAnsi"/>
                <w:sz w:val="24"/>
                <w:szCs w:val="24"/>
                <w:vertAlign w:val="superscript"/>
              </w:rPr>
              <w:t>0</w:t>
            </w:r>
            <w:r w:rsidR="00CA0415">
              <w:rPr>
                <w:rFonts w:cstheme="minorHAnsi"/>
                <w:sz w:val="24"/>
                <w:szCs w:val="24"/>
                <w:vertAlign w:val="superscript"/>
              </w:rPr>
              <w:t xml:space="preserve"> </w:t>
            </w:r>
            <w:r w:rsidRPr="00CA0415">
              <w:rPr>
                <w:rFonts w:cstheme="minorHAnsi"/>
                <w:color w:val="1F1A17"/>
                <w:sz w:val="24"/>
                <w:szCs w:val="24"/>
                <w:lang w:val="en-IN"/>
              </w:rPr>
              <w:t xml:space="preserve">C </w:t>
            </w:r>
            <w:r w:rsidR="008B64EE" w:rsidRPr="00CA0415">
              <w:rPr>
                <w:rFonts w:cstheme="minorHAnsi"/>
                <w:color w:val="1F1A17"/>
                <w:sz w:val="24"/>
                <w:szCs w:val="24"/>
                <w:lang w:val="en-IN"/>
              </w:rPr>
              <w:t>To</w:t>
            </w:r>
            <w:r w:rsidR="00505ECF">
              <w:rPr>
                <w:rFonts w:cstheme="minorHAnsi"/>
                <w:color w:val="1F1A17"/>
                <w:sz w:val="24"/>
                <w:szCs w:val="24"/>
                <w:lang w:val="en-IN"/>
              </w:rPr>
              <w:t xml:space="preserve">     </w:t>
            </w:r>
            <w:r w:rsidR="008B64EE" w:rsidRPr="00CA0415">
              <w:rPr>
                <w:rFonts w:cstheme="minorHAnsi"/>
                <w:color w:val="1F1A17"/>
                <w:sz w:val="24"/>
                <w:szCs w:val="24"/>
                <w:lang w:val="en-IN"/>
              </w:rPr>
              <w:t>-80</w:t>
            </w:r>
            <w:r w:rsidR="00CA0415" w:rsidRPr="00CA0415">
              <w:rPr>
                <w:rFonts w:cstheme="minorHAnsi"/>
                <w:sz w:val="24"/>
                <w:szCs w:val="24"/>
                <w:vertAlign w:val="superscript"/>
              </w:rPr>
              <w:t>0</w:t>
            </w:r>
            <w:r w:rsidR="00CA0415">
              <w:rPr>
                <w:rFonts w:cstheme="minorHAnsi"/>
                <w:sz w:val="24"/>
                <w:szCs w:val="24"/>
                <w:vertAlign w:val="superscript"/>
              </w:rPr>
              <w:t xml:space="preserve"> </w:t>
            </w:r>
            <w:r w:rsidR="008B64EE" w:rsidRPr="00CA0415">
              <w:rPr>
                <w:rFonts w:cstheme="minorHAnsi"/>
                <w:color w:val="1F1A17"/>
                <w:sz w:val="24"/>
                <w:szCs w:val="24"/>
                <w:lang w:val="en-IN"/>
              </w:rPr>
              <w:t>C</w:t>
            </w:r>
          </w:p>
          <w:p w:rsidR="00E830E4" w:rsidRPr="00CA0415" w:rsidRDefault="00E830E4" w:rsidP="00CA0415">
            <w:pPr>
              <w:spacing w:line="360" w:lineRule="auto"/>
              <w:jc w:val="center"/>
              <w:rPr>
                <w:rFonts w:cstheme="minorHAnsi"/>
                <w:sz w:val="24"/>
                <w:szCs w:val="24"/>
              </w:rPr>
            </w:pPr>
          </w:p>
        </w:tc>
        <w:tc>
          <w:tcPr>
            <w:tcW w:w="1276" w:type="dxa"/>
          </w:tcPr>
          <w:p w:rsidR="00E830E4" w:rsidRPr="00CA0415" w:rsidRDefault="008B64EE" w:rsidP="00CA0415">
            <w:pPr>
              <w:spacing w:line="360" w:lineRule="auto"/>
              <w:jc w:val="center"/>
              <w:rPr>
                <w:rFonts w:cstheme="minorHAnsi"/>
                <w:sz w:val="24"/>
                <w:szCs w:val="24"/>
              </w:rPr>
            </w:pPr>
            <w:r w:rsidRPr="00CA0415">
              <w:rPr>
                <w:rFonts w:cstheme="minorHAnsi"/>
                <w:color w:val="1F1A17"/>
                <w:sz w:val="24"/>
                <w:szCs w:val="24"/>
                <w:lang w:val="en-IN"/>
              </w:rPr>
              <w:t>-30</w:t>
            </w:r>
            <w:r w:rsidR="00CA0415" w:rsidRPr="00CA0415">
              <w:rPr>
                <w:rFonts w:cstheme="minorHAnsi"/>
                <w:sz w:val="24"/>
                <w:szCs w:val="24"/>
                <w:vertAlign w:val="superscript"/>
              </w:rPr>
              <w:t>0</w:t>
            </w:r>
            <w:r w:rsidR="00CA0415">
              <w:rPr>
                <w:rFonts w:cstheme="minorHAnsi"/>
                <w:sz w:val="24"/>
                <w:szCs w:val="24"/>
                <w:vertAlign w:val="superscript"/>
              </w:rPr>
              <w:t xml:space="preserve"> </w:t>
            </w:r>
            <w:r w:rsidRPr="00CA0415">
              <w:rPr>
                <w:rFonts w:cstheme="minorHAnsi"/>
                <w:color w:val="1F1A17"/>
                <w:sz w:val="24"/>
                <w:szCs w:val="24"/>
                <w:lang w:val="en-IN"/>
              </w:rPr>
              <w:t>C</w:t>
            </w:r>
          </w:p>
        </w:tc>
        <w:tc>
          <w:tcPr>
            <w:tcW w:w="1559" w:type="dxa"/>
          </w:tcPr>
          <w:p w:rsidR="00E830E4" w:rsidRPr="00CA0415" w:rsidRDefault="00E830E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22</w:t>
            </w:r>
            <w:r w:rsidR="00CA0415" w:rsidRPr="00CA0415">
              <w:rPr>
                <w:rFonts w:cstheme="minorHAnsi"/>
                <w:sz w:val="24"/>
                <w:szCs w:val="24"/>
                <w:vertAlign w:val="superscript"/>
              </w:rPr>
              <w:t>0</w:t>
            </w:r>
            <w:r w:rsidRPr="00CA0415">
              <w:rPr>
                <w:rFonts w:cstheme="minorHAnsi"/>
                <w:color w:val="1F1A17"/>
                <w:sz w:val="24"/>
                <w:szCs w:val="24"/>
                <w:lang w:val="en-IN"/>
              </w:rPr>
              <w:t>C with</w:t>
            </w:r>
          </w:p>
          <w:p w:rsidR="00E830E4" w:rsidRPr="00CA0415" w:rsidRDefault="00E830E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gentle</w:t>
            </w:r>
          </w:p>
          <w:p w:rsidR="00E830E4" w:rsidRPr="00CA0415" w:rsidRDefault="00E830E4" w:rsidP="00CA0415">
            <w:pPr>
              <w:spacing w:line="360" w:lineRule="auto"/>
              <w:jc w:val="center"/>
              <w:rPr>
                <w:rFonts w:cstheme="minorHAnsi"/>
                <w:sz w:val="24"/>
                <w:szCs w:val="24"/>
              </w:rPr>
            </w:pPr>
            <w:r w:rsidRPr="00CA0415">
              <w:rPr>
                <w:rFonts w:cstheme="minorHAnsi"/>
                <w:color w:val="1F1A17"/>
                <w:sz w:val="24"/>
                <w:szCs w:val="24"/>
                <w:lang w:val="en-IN"/>
              </w:rPr>
              <w:t>agitation</w:t>
            </w:r>
          </w:p>
        </w:tc>
        <w:tc>
          <w:tcPr>
            <w:tcW w:w="992" w:type="dxa"/>
          </w:tcPr>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-30</w:t>
            </w:r>
            <w:r w:rsidR="00CA0415" w:rsidRPr="00CA0415">
              <w:rPr>
                <w:rFonts w:cstheme="minorHAnsi"/>
                <w:sz w:val="24"/>
                <w:szCs w:val="24"/>
                <w:vertAlign w:val="superscript"/>
              </w:rPr>
              <w:t>0</w:t>
            </w:r>
            <w:r w:rsidRPr="00CA0415">
              <w:rPr>
                <w:rFonts w:cstheme="minorHAnsi"/>
                <w:color w:val="1F1A17"/>
                <w:sz w:val="24"/>
                <w:szCs w:val="24"/>
                <w:lang w:val="en-IN"/>
              </w:rPr>
              <w:t>C</w:t>
            </w:r>
          </w:p>
        </w:tc>
      </w:tr>
      <w:tr w:rsidR="00E830E4" w:rsidRPr="00CA0415" w:rsidTr="00571A90">
        <w:trPr>
          <w:trHeight w:val="918"/>
        </w:trPr>
        <w:tc>
          <w:tcPr>
            <w:tcW w:w="1560" w:type="dxa"/>
          </w:tcPr>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Shelf life</w:t>
            </w:r>
          </w:p>
          <w:p w:rsidR="00E830E4" w:rsidRPr="00CA0415" w:rsidRDefault="00E830E4" w:rsidP="00CA0415">
            <w:pPr>
              <w:spacing w:line="360" w:lineRule="auto"/>
              <w:jc w:val="center"/>
              <w:rPr>
                <w:rFonts w:cstheme="minorHAnsi"/>
                <w:sz w:val="24"/>
                <w:szCs w:val="24"/>
              </w:rPr>
            </w:pPr>
          </w:p>
        </w:tc>
        <w:tc>
          <w:tcPr>
            <w:tcW w:w="1842" w:type="dxa"/>
          </w:tcPr>
          <w:p w:rsidR="0070700A"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35 days</w:t>
            </w:r>
          </w:p>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42 days</w:t>
            </w:r>
          </w:p>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with</w:t>
            </w:r>
          </w:p>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additive</w:t>
            </w:r>
          </w:p>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solution</w:t>
            </w:r>
          </w:p>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“SAGM</w:t>
            </w:r>
          </w:p>
        </w:tc>
        <w:tc>
          <w:tcPr>
            <w:tcW w:w="1276" w:type="dxa"/>
          </w:tcPr>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1 Year</w:t>
            </w:r>
          </w:p>
        </w:tc>
        <w:tc>
          <w:tcPr>
            <w:tcW w:w="1276" w:type="dxa"/>
          </w:tcPr>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5-7  days</w:t>
            </w:r>
          </w:p>
          <w:p w:rsidR="007A7654" w:rsidRPr="00CA0415" w:rsidRDefault="007A7654" w:rsidP="00CA0415">
            <w:pPr>
              <w:autoSpaceDE w:val="0"/>
              <w:autoSpaceDN w:val="0"/>
              <w:adjustRightInd w:val="0"/>
              <w:jc w:val="center"/>
              <w:rPr>
                <w:rFonts w:cstheme="minorHAnsi"/>
                <w:color w:val="1F1A17"/>
                <w:sz w:val="24"/>
                <w:szCs w:val="24"/>
                <w:lang w:val="en-IN"/>
              </w:rPr>
            </w:pPr>
            <w:r w:rsidRPr="00CA0415">
              <w:rPr>
                <w:rFonts w:cstheme="minorHAnsi"/>
                <w:color w:val="1F1A17"/>
                <w:sz w:val="24"/>
                <w:szCs w:val="24"/>
                <w:lang w:val="en-IN"/>
              </w:rPr>
              <w:t>according to</w:t>
            </w:r>
          </w:p>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bag in use</w:t>
            </w:r>
          </w:p>
        </w:tc>
        <w:tc>
          <w:tcPr>
            <w:tcW w:w="1559" w:type="dxa"/>
          </w:tcPr>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1 Year</w:t>
            </w:r>
          </w:p>
        </w:tc>
        <w:tc>
          <w:tcPr>
            <w:tcW w:w="992" w:type="dxa"/>
          </w:tcPr>
          <w:p w:rsidR="00E830E4" w:rsidRPr="00CA0415" w:rsidRDefault="007A7654" w:rsidP="00CA0415">
            <w:pPr>
              <w:spacing w:line="360" w:lineRule="auto"/>
              <w:jc w:val="center"/>
              <w:rPr>
                <w:rFonts w:cstheme="minorHAnsi"/>
                <w:sz w:val="24"/>
                <w:szCs w:val="24"/>
              </w:rPr>
            </w:pPr>
            <w:r w:rsidRPr="00CA0415">
              <w:rPr>
                <w:rFonts w:cstheme="minorHAnsi"/>
                <w:color w:val="1F1A17"/>
                <w:sz w:val="24"/>
                <w:szCs w:val="24"/>
                <w:lang w:val="en-IN"/>
              </w:rPr>
              <w:t>1 Year</w:t>
            </w:r>
          </w:p>
        </w:tc>
      </w:tr>
    </w:tbl>
    <w:p w:rsidR="00157BDB" w:rsidRPr="00CA0415" w:rsidRDefault="0070700A" w:rsidP="00CA0415">
      <w:pPr>
        <w:spacing w:after="0" w:line="360" w:lineRule="auto"/>
        <w:ind w:left="567"/>
        <w:jc w:val="both"/>
        <w:rPr>
          <w:rFonts w:cstheme="minorHAnsi"/>
          <w:sz w:val="24"/>
          <w:szCs w:val="24"/>
        </w:rPr>
      </w:pPr>
      <w:r w:rsidRPr="00CA0415">
        <w:rPr>
          <w:rFonts w:cstheme="minorHAnsi"/>
          <w:sz w:val="24"/>
          <w:szCs w:val="24"/>
        </w:rPr>
        <w:t xml:space="preserve">PRBC = Packed Red Blood Cells. FFP= Fresh Frozen Plasma. CPP = Cryopoor plasma. Cryo= Cryoprecipitate </w:t>
      </w:r>
    </w:p>
    <w:p w:rsidR="0070700A" w:rsidRPr="00CA0415" w:rsidRDefault="0070700A" w:rsidP="00B370F0">
      <w:pPr>
        <w:spacing w:after="0" w:line="360" w:lineRule="auto"/>
        <w:jc w:val="both"/>
        <w:rPr>
          <w:rFonts w:cstheme="minorHAnsi"/>
          <w:sz w:val="24"/>
          <w:szCs w:val="24"/>
        </w:rPr>
      </w:pPr>
    </w:p>
    <w:p w:rsidR="00157BDB" w:rsidRPr="00CA0415" w:rsidRDefault="00157BDB" w:rsidP="00326501">
      <w:pPr>
        <w:pStyle w:val="ListParagraph"/>
        <w:numPr>
          <w:ilvl w:val="0"/>
          <w:numId w:val="5"/>
        </w:numPr>
        <w:tabs>
          <w:tab w:val="clear" w:pos="720"/>
          <w:tab w:val="num" w:pos="567"/>
        </w:tabs>
        <w:spacing w:line="360" w:lineRule="auto"/>
        <w:ind w:left="567" w:hanging="567"/>
        <w:jc w:val="both"/>
        <w:rPr>
          <w:rFonts w:asciiTheme="minorHAnsi" w:hAnsiTheme="minorHAnsi" w:cstheme="minorHAnsi"/>
          <w:b/>
        </w:rPr>
      </w:pPr>
      <w:r w:rsidRPr="00CA0415">
        <w:rPr>
          <w:rFonts w:asciiTheme="minorHAnsi" w:hAnsiTheme="minorHAnsi" w:cstheme="minorHAnsi"/>
          <w:b/>
        </w:rPr>
        <w:t>DOCUMENTATION:</w:t>
      </w:r>
    </w:p>
    <w:p w:rsidR="00157BDB" w:rsidRPr="00CA0415" w:rsidRDefault="00157BDB" w:rsidP="00B370F0">
      <w:pPr>
        <w:spacing w:after="0" w:line="360" w:lineRule="auto"/>
        <w:jc w:val="both"/>
        <w:rPr>
          <w:rFonts w:cstheme="minorHAnsi"/>
          <w:sz w:val="24"/>
          <w:szCs w:val="24"/>
        </w:rPr>
      </w:pPr>
    </w:p>
    <w:p w:rsidR="00157BDB" w:rsidRPr="00CA0415" w:rsidRDefault="00157BDB" w:rsidP="009F660C">
      <w:pPr>
        <w:pStyle w:val="BodyTextIndent"/>
        <w:spacing w:after="0" w:line="360" w:lineRule="auto"/>
        <w:ind w:left="567"/>
        <w:jc w:val="both"/>
        <w:rPr>
          <w:rFonts w:cstheme="minorHAnsi"/>
          <w:sz w:val="24"/>
          <w:szCs w:val="24"/>
        </w:rPr>
      </w:pPr>
      <w:r w:rsidRPr="00CA0415">
        <w:rPr>
          <w:rFonts w:cstheme="minorHAnsi"/>
          <w:sz w:val="24"/>
          <w:szCs w:val="24"/>
        </w:rPr>
        <w:t>Record all blood/components released for use</w:t>
      </w:r>
      <w:r w:rsidR="00CD32AE" w:rsidRPr="00CA0415">
        <w:rPr>
          <w:rFonts w:cstheme="minorHAnsi"/>
          <w:sz w:val="24"/>
          <w:szCs w:val="24"/>
        </w:rPr>
        <w:t xml:space="preserve"> </w:t>
      </w:r>
      <w:r w:rsidR="0089450E">
        <w:rPr>
          <w:rFonts w:cstheme="minorHAnsi"/>
          <w:sz w:val="24"/>
          <w:szCs w:val="24"/>
        </w:rPr>
        <w:t>i</w:t>
      </w:r>
      <w:r w:rsidR="00CD32AE" w:rsidRPr="00CA0415">
        <w:rPr>
          <w:rFonts w:cstheme="minorHAnsi"/>
          <w:sz w:val="24"/>
          <w:szCs w:val="24"/>
        </w:rPr>
        <w:t xml:space="preserve">n stock register, master record  </w:t>
      </w:r>
      <w:r w:rsidRPr="00CA0415">
        <w:rPr>
          <w:rFonts w:cstheme="minorHAnsi"/>
          <w:sz w:val="24"/>
          <w:szCs w:val="24"/>
        </w:rPr>
        <w:t xml:space="preserve"> as well as the unsuitable units to be discarded in the disposal register.</w:t>
      </w:r>
    </w:p>
    <w:p w:rsidR="00157BDB" w:rsidRPr="00CA0415" w:rsidRDefault="00157BDB" w:rsidP="00B370F0">
      <w:pPr>
        <w:spacing w:after="0" w:line="360" w:lineRule="auto"/>
        <w:jc w:val="both"/>
        <w:rPr>
          <w:rFonts w:cstheme="minorHAnsi"/>
          <w:sz w:val="24"/>
          <w:szCs w:val="24"/>
        </w:rPr>
      </w:pPr>
    </w:p>
    <w:p w:rsidR="00157BDB" w:rsidRPr="00CA0415" w:rsidRDefault="00157BDB" w:rsidP="00326501">
      <w:pPr>
        <w:numPr>
          <w:ilvl w:val="0"/>
          <w:numId w:val="5"/>
        </w:numPr>
        <w:tabs>
          <w:tab w:val="clear" w:pos="720"/>
          <w:tab w:val="num" w:pos="567"/>
        </w:tabs>
        <w:spacing w:after="0" w:line="360" w:lineRule="auto"/>
        <w:ind w:left="567" w:hanging="567"/>
        <w:jc w:val="both"/>
        <w:rPr>
          <w:rFonts w:cstheme="minorHAnsi"/>
          <w:b/>
          <w:sz w:val="24"/>
          <w:szCs w:val="24"/>
        </w:rPr>
      </w:pPr>
      <w:r w:rsidRPr="00CA0415">
        <w:rPr>
          <w:rFonts w:cstheme="minorHAnsi"/>
          <w:b/>
          <w:sz w:val="24"/>
          <w:szCs w:val="24"/>
        </w:rPr>
        <w:t>REFERENCES:</w:t>
      </w:r>
    </w:p>
    <w:p w:rsidR="007A7654" w:rsidRPr="00CA0415" w:rsidRDefault="00157BDB" w:rsidP="00326501">
      <w:pPr>
        <w:numPr>
          <w:ilvl w:val="0"/>
          <w:numId w:val="11"/>
        </w:numPr>
        <w:spacing w:after="0" w:line="360" w:lineRule="auto"/>
        <w:jc w:val="both"/>
        <w:rPr>
          <w:rFonts w:cstheme="minorHAnsi"/>
          <w:sz w:val="24"/>
          <w:szCs w:val="24"/>
        </w:rPr>
      </w:pPr>
      <w:r w:rsidRPr="00CA0415">
        <w:rPr>
          <w:rFonts w:cstheme="minorHAnsi"/>
          <w:sz w:val="24"/>
          <w:szCs w:val="24"/>
        </w:rPr>
        <w:t>Technical Manual of American Association of Blood Banks – 1</w:t>
      </w:r>
      <w:r w:rsidR="007A7654" w:rsidRPr="00CA0415">
        <w:rPr>
          <w:rFonts w:cstheme="minorHAnsi"/>
          <w:sz w:val="24"/>
          <w:szCs w:val="24"/>
        </w:rPr>
        <w:t>5</w:t>
      </w:r>
      <w:r w:rsidRPr="00CA0415">
        <w:rPr>
          <w:rFonts w:cstheme="minorHAnsi"/>
          <w:sz w:val="24"/>
          <w:szCs w:val="24"/>
          <w:vertAlign w:val="superscript"/>
        </w:rPr>
        <w:t>th</w:t>
      </w:r>
      <w:r w:rsidR="007A7654" w:rsidRPr="00CA0415">
        <w:rPr>
          <w:rFonts w:cstheme="minorHAnsi"/>
          <w:sz w:val="24"/>
          <w:szCs w:val="24"/>
        </w:rPr>
        <w:t xml:space="preserve"> Edition, 2005. </w:t>
      </w:r>
    </w:p>
    <w:p w:rsidR="00157BDB" w:rsidRDefault="00157BDB" w:rsidP="00B370F0">
      <w:pPr>
        <w:numPr>
          <w:ilvl w:val="0"/>
          <w:numId w:val="11"/>
        </w:numPr>
        <w:spacing w:after="0" w:line="360" w:lineRule="auto"/>
        <w:jc w:val="both"/>
        <w:rPr>
          <w:rFonts w:cstheme="minorHAnsi"/>
          <w:sz w:val="24"/>
          <w:szCs w:val="24"/>
        </w:rPr>
      </w:pPr>
      <w:r w:rsidRPr="00CA0415">
        <w:rPr>
          <w:rFonts w:cstheme="minorHAnsi"/>
          <w:sz w:val="24"/>
          <w:szCs w:val="24"/>
        </w:rPr>
        <w:t>Introduction to Transfusion Medicine, Zarin Bharucha &amp; D.M. Chauhan, 1</w:t>
      </w:r>
      <w:r w:rsidRPr="00CA0415">
        <w:rPr>
          <w:rFonts w:cstheme="minorHAnsi"/>
          <w:sz w:val="24"/>
          <w:szCs w:val="24"/>
          <w:vertAlign w:val="superscript"/>
        </w:rPr>
        <w:t>ST</w:t>
      </w:r>
      <w:r w:rsidRPr="00CA0415">
        <w:rPr>
          <w:rFonts w:cstheme="minorHAnsi"/>
          <w:sz w:val="24"/>
          <w:szCs w:val="24"/>
        </w:rPr>
        <w:t xml:space="preserve"> Edition, 1990</w:t>
      </w:r>
      <w:r w:rsidR="007A7654" w:rsidRPr="00CA0415">
        <w:rPr>
          <w:rFonts w:cstheme="minorHAnsi"/>
          <w:sz w:val="24"/>
          <w:szCs w:val="24"/>
        </w:rPr>
        <w:t>.</w:t>
      </w:r>
    </w:p>
    <w:p w:rsidR="00190B07" w:rsidRPr="00CA0415" w:rsidRDefault="00190B07" w:rsidP="00190B07">
      <w:pPr>
        <w:spacing w:after="0" w:line="360" w:lineRule="auto"/>
        <w:ind w:left="1080"/>
        <w:jc w:val="both"/>
        <w:rPr>
          <w:rFonts w:cstheme="minorHAnsi"/>
          <w:sz w:val="24"/>
          <w:szCs w:val="24"/>
        </w:rPr>
      </w:pPr>
    </w:p>
    <w:p w:rsidR="00157BDB" w:rsidRPr="00CA0415" w:rsidRDefault="00157BDB" w:rsidP="00326501">
      <w:pPr>
        <w:pStyle w:val="ListParagraph"/>
        <w:numPr>
          <w:ilvl w:val="0"/>
          <w:numId w:val="5"/>
        </w:numPr>
        <w:tabs>
          <w:tab w:val="clear" w:pos="720"/>
          <w:tab w:val="num" w:pos="567"/>
        </w:tabs>
        <w:spacing w:line="360" w:lineRule="auto"/>
        <w:ind w:left="567" w:hanging="567"/>
        <w:jc w:val="both"/>
        <w:rPr>
          <w:rFonts w:asciiTheme="minorHAnsi" w:hAnsiTheme="minorHAnsi" w:cstheme="minorHAnsi"/>
          <w:b/>
        </w:rPr>
      </w:pPr>
      <w:r w:rsidRPr="00CA0415">
        <w:rPr>
          <w:rFonts w:asciiTheme="minorHAnsi" w:hAnsiTheme="minorHAnsi" w:cstheme="minorHAnsi"/>
          <w:b/>
        </w:rPr>
        <w:t>END OF DOCUMENT</w:t>
      </w:r>
    </w:p>
    <w:sectPr w:rsidR="00157BDB" w:rsidRPr="00CA0415" w:rsidSect="001970B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C0" w:rsidRDefault="000571C0" w:rsidP="00B32FFC">
      <w:pPr>
        <w:spacing w:after="0" w:line="240" w:lineRule="auto"/>
      </w:pPr>
      <w:r>
        <w:separator/>
      </w:r>
    </w:p>
  </w:endnote>
  <w:endnote w:type="continuationSeparator" w:id="1">
    <w:p w:rsidR="000571C0" w:rsidRDefault="000571C0" w:rsidP="00B3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FC" w:rsidRDefault="00B32FFC" w:rsidP="00B32FFC">
    <w:pPr>
      <w:pStyle w:val="Footer"/>
    </w:pPr>
    <w:r>
      <w:t xml:space="preserve">     Prepared By </w:t>
    </w:r>
    <w:r>
      <w:tab/>
      <w:t xml:space="preserve">                                                                                                             Approved By</w:t>
    </w:r>
  </w:p>
  <w:p w:rsidR="00B32FFC" w:rsidRDefault="00B32FFC" w:rsidP="00B32FFC">
    <w:pPr>
      <w:pStyle w:val="Footer"/>
    </w:pPr>
  </w:p>
  <w:p w:rsidR="00B32FFC" w:rsidRDefault="00B32FFC" w:rsidP="00B32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C0" w:rsidRDefault="000571C0" w:rsidP="00B32FFC">
      <w:pPr>
        <w:spacing w:after="0" w:line="240" w:lineRule="auto"/>
      </w:pPr>
      <w:r>
        <w:separator/>
      </w:r>
    </w:p>
  </w:footnote>
  <w:footnote w:type="continuationSeparator" w:id="1">
    <w:p w:rsidR="000571C0" w:rsidRDefault="000571C0" w:rsidP="00B32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0585A3F"/>
    <w:multiLevelType w:val="singleLevel"/>
    <w:tmpl w:val="03E85850"/>
    <w:lvl w:ilvl="0">
      <w:start w:val="1"/>
      <w:numFmt w:val="decimal"/>
      <w:lvlText w:val="%1."/>
      <w:lvlJc w:val="left"/>
      <w:pPr>
        <w:tabs>
          <w:tab w:val="num" w:pos="1440"/>
        </w:tabs>
        <w:ind w:left="1440" w:hanging="720"/>
      </w:pPr>
      <w:rPr>
        <w:rFonts w:hint="default"/>
      </w:rPr>
    </w:lvl>
  </w:abstractNum>
  <w:abstractNum w:abstractNumId="3">
    <w:nsid w:val="34E9016D"/>
    <w:multiLevelType w:val="hybridMultilevel"/>
    <w:tmpl w:val="D3760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4C2699C"/>
    <w:multiLevelType w:val="singleLevel"/>
    <w:tmpl w:val="C0E24C12"/>
    <w:lvl w:ilvl="0">
      <w:start w:val="1"/>
      <w:numFmt w:val="bullet"/>
      <w:lvlText w:val="-"/>
      <w:lvlJc w:val="left"/>
      <w:pPr>
        <w:tabs>
          <w:tab w:val="num" w:pos="1440"/>
        </w:tabs>
        <w:ind w:left="1440" w:hanging="720"/>
      </w:pPr>
      <w:rPr>
        <w:rFonts w:hint="default"/>
      </w:rPr>
    </w:lvl>
  </w:abstractNum>
  <w:abstractNum w:abstractNumId="6">
    <w:nsid w:val="560C5C20"/>
    <w:multiLevelType w:val="hybridMultilevel"/>
    <w:tmpl w:val="22FC852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8EF025E"/>
    <w:multiLevelType w:val="hybridMultilevel"/>
    <w:tmpl w:val="122CA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6E699C"/>
    <w:multiLevelType w:val="singleLevel"/>
    <w:tmpl w:val="C0E24C12"/>
    <w:lvl w:ilvl="0">
      <w:start w:val="1"/>
      <w:numFmt w:val="bullet"/>
      <w:lvlText w:val="-"/>
      <w:lvlJc w:val="left"/>
      <w:pPr>
        <w:tabs>
          <w:tab w:val="num" w:pos="1440"/>
        </w:tabs>
        <w:ind w:left="1440" w:hanging="720"/>
      </w:pPr>
      <w:rPr>
        <w:rFonts w:hint="default"/>
      </w:rPr>
    </w:lvl>
  </w:abstractNum>
  <w:abstractNum w:abstractNumId="9">
    <w:nsid w:val="7FC90C5B"/>
    <w:multiLevelType w:val="singleLevel"/>
    <w:tmpl w:val="6CAA0F12"/>
    <w:lvl w:ilvl="0">
      <w:start w:val="3"/>
      <w:numFmt w:val="decimal"/>
      <w:lvlText w:val="%1."/>
      <w:lvlJc w:val="left"/>
      <w:pPr>
        <w:tabs>
          <w:tab w:val="num" w:pos="720"/>
        </w:tabs>
        <w:ind w:left="720" w:hanging="72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5"/>
  </w:num>
  <w:num w:numId="8">
    <w:abstractNumId w:val="2"/>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76192"/>
    <w:rsid w:val="000006F2"/>
    <w:rsid w:val="000571C0"/>
    <w:rsid w:val="000741C6"/>
    <w:rsid w:val="000C4E83"/>
    <w:rsid w:val="000E7FFE"/>
    <w:rsid w:val="0014260A"/>
    <w:rsid w:val="00157BDB"/>
    <w:rsid w:val="00162A21"/>
    <w:rsid w:val="00164D33"/>
    <w:rsid w:val="00190B07"/>
    <w:rsid w:val="001970B8"/>
    <w:rsid w:val="001E77B3"/>
    <w:rsid w:val="00216FD3"/>
    <w:rsid w:val="00241D14"/>
    <w:rsid w:val="0030655F"/>
    <w:rsid w:val="00326501"/>
    <w:rsid w:val="00341124"/>
    <w:rsid w:val="00392716"/>
    <w:rsid w:val="004B2058"/>
    <w:rsid w:val="004E6884"/>
    <w:rsid w:val="00505ECF"/>
    <w:rsid w:val="00571A90"/>
    <w:rsid w:val="00590E70"/>
    <w:rsid w:val="005B7073"/>
    <w:rsid w:val="0065626C"/>
    <w:rsid w:val="00683250"/>
    <w:rsid w:val="006C0C72"/>
    <w:rsid w:val="006C3DC0"/>
    <w:rsid w:val="006E6EA2"/>
    <w:rsid w:val="0070700A"/>
    <w:rsid w:val="00743F5A"/>
    <w:rsid w:val="00770254"/>
    <w:rsid w:val="007A008E"/>
    <w:rsid w:val="007A7654"/>
    <w:rsid w:val="0081798E"/>
    <w:rsid w:val="00851A1D"/>
    <w:rsid w:val="0089450E"/>
    <w:rsid w:val="008B64EE"/>
    <w:rsid w:val="009F660C"/>
    <w:rsid w:val="00A214E4"/>
    <w:rsid w:val="00A5080C"/>
    <w:rsid w:val="00A9268C"/>
    <w:rsid w:val="00B32FFC"/>
    <w:rsid w:val="00B370F0"/>
    <w:rsid w:val="00C61823"/>
    <w:rsid w:val="00C97136"/>
    <w:rsid w:val="00CA0415"/>
    <w:rsid w:val="00CA7832"/>
    <w:rsid w:val="00CD32AE"/>
    <w:rsid w:val="00D82C1C"/>
    <w:rsid w:val="00DD4155"/>
    <w:rsid w:val="00E76192"/>
    <w:rsid w:val="00E830E4"/>
    <w:rsid w:val="00EA2DD9"/>
    <w:rsid w:val="00EF1900"/>
    <w:rsid w:val="00F069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76192"/>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76192"/>
    <w:rPr>
      <w:rFonts w:ascii="Times New Roman" w:eastAsia="Calibri" w:hAnsi="Times New Roman" w:cs="Times New Roman"/>
      <w:sz w:val="24"/>
      <w:szCs w:val="24"/>
      <w:lang w:eastAsia="en-US"/>
    </w:rPr>
  </w:style>
  <w:style w:type="paragraph" w:styleId="NoSpacing">
    <w:name w:val="No Spacing"/>
    <w:uiPriority w:val="1"/>
    <w:qFormat/>
    <w:rsid w:val="00E76192"/>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76192"/>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157BDB"/>
    <w:pPr>
      <w:spacing w:after="120"/>
      <w:ind w:left="283"/>
    </w:pPr>
  </w:style>
  <w:style w:type="character" w:customStyle="1" w:styleId="BodyTextIndentChar">
    <w:name w:val="Body Text Indent Char"/>
    <w:basedOn w:val="DefaultParagraphFont"/>
    <w:link w:val="BodyTextIndent"/>
    <w:uiPriority w:val="99"/>
    <w:semiHidden/>
    <w:rsid w:val="00157BDB"/>
  </w:style>
  <w:style w:type="table" w:styleId="TableGrid">
    <w:name w:val="Table Grid"/>
    <w:basedOn w:val="TableNormal"/>
    <w:uiPriority w:val="59"/>
    <w:rsid w:val="001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2F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FFC"/>
  </w:style>
  <w:style w:type="paragraph" w:styleId="Footer">
    <w:name w:val="footer"/>
    <w:basedOn w:val="Normal"/>
    <w:link w:val="FooterChar"/>
    <w:uiPriority w:val="99"/>
    <w:unhideWhenUsed/>
    <w:rsid w:val="00B3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C"/>
  </w:style>
</w:styles>
</file>

<file path=word/webSettings.xml><?xml version="1.0" encoding="utf-8"?>
<w:webSettings xmlns:r="http://schemas.openxmlformats.org/officeDocument/2006/relationships" xmlns:w="http://schemas.openxmlformats.org/wordprocessingml/2006/main">
  <w:divs>
    <w:div w:id="548809547">
      <w:bodyDiv w:val="1"/>
      <w:marLeft w:val="0"/>
      <w:marRight w:val="0"/>
      <w:marTop w:val="0"/>
      <w:marBottom w:val="0"/>
      <w:divBdr>
        <w:top w:val="none" w:sz="0" w:space="0" w:color="auto"/>
        <w:left w:val="none" w:sz="0" w:space="0" w:color="auto"/>
        <w:bottom w:val="none" w:sz="0" w:space="0" w:color="auto"/>
        <w:right w:val="none" w:sz="0" w:space="0" w:color="auto"/>
      </w:divBdr>
    </w:div>
    <w:div w:id="838542032">
      <w:bodyDiv w:val="1"/>
      <w:marLeft w:val="0"/>
      <w:marRight w:val="0"/>
      <w:marTop w:val="0"/>
      <w:marBottom w:val="0"/>
      <w:divBdr>
        <w:top w:val="none" w:sz="0" w:space="0" w:color="auto"/>
        <w:left w:val="none" w:sz="0" w:space="0" w:color="auto"/>
        <w:bottom w:val="none" w:sz="0" w:space="0" w:color="auto"/>
        <w:right w:val="none" w:sz="0" w:space="0" w:color="auto"/>
      </w:divBdr>
    </w:div>
    <w:div w:id="8420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39</cp:revision>
  <cp:lastPrinted>2011-05-04T05:10:00Z</cp:lastPrinted>
  <dcterms:created xsi:type="dcterms:W3CDTF">2011-04-13T07:12:00Z</dcterms:created>
  <dcterms:modified xsi:type="dcterms:W3CDTF">2016-12-15T06:32:00Z</dcterms:modified>
</cp:coreProperties>
</file>